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E96" w:rsidRPr="007E7990" w:rsidRDefault="007E7990" w:rsidP="00762E9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-552450</wp:posOffset>
            </wp:positionH>
            <wp:positionV relativeFrom="paragraph">
              <wp:posOffset>-52705</wp:posOffset>
            </wp:positionV>
            <wp:extent cx="1524000" cy="68580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05000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2E96" w:rsidRPr="007E799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Потребительское кредитование физических лиц – членов татарского республиканского комитета профсоюза работников народного образования и науки</w:t>
      </w:r>
      <w:bookmarkEnd w:id="0"/>
    </w:p>
    <w:p w:rsidR="002920E1" w:rsidRDefault="00762E96" w:rsidP="007E799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990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="002920E1">
        <w:rPr>
          <w:rFonts w:ascii="Arial" w:hAnsi="Arial" w:cs="Arial"/>
          <w:color w:val="000000"/>
          <w:sz w:val="23"/>
          <w:szCs w:val="23"/>
          <w:shd w:val="clear" w:color="auto" w:fill="FFFFFF"/>
        </w:rPr>
        <w:t>ОСНОВНЫЕ ПРЕДЛОЖЕНИЯ:</w:t>
      </w:r>
      <w:r w:rsidR="002920E1">
        <w:rPr>
          <w:rFonts w:ascii="Arial" w:hAnsi="Arial" w:cs="Arial"/>
          <w:color w:val="000000"/>
          <w:sz w:val="23"/>
          <w:szCs w:val="23"/>
        </w:rPr>
        <w:br/>
      </w:r>
      <w:r w:rsidR="002920E1">
        <w:rPr>
          <w:rFonts w:ascii="Arial" w:hAnsi="Arial" w:cs="Arial"/>
          <w:color w:val="000000"/>
          <w:sz w:val="23"/>
          <w:szCs w:val="23"/>
          <w:shd w:val="clear" w:color="auto" w:fill="FFFFFF"/>
        </w:rPr>
        <w:t>        ИПОТЕКА:</w:t>
      </w:r>
      <w:r w:rsidR="002920E1">
        <w:rPr>
          <w:rFonts w:ascii="Arial" w:hAnsi="Arial" w:cs="Arial"/>
          <w:color w:val="000000"/>
          <w:sz w:val="23"/>
          <w:szCs w:val="23"/>
        </w:rPr>
        <w:br/>
      </w:r>
      <w:r w:rsidR="002920E1">
        <w:rPr>
          <w:rFonts w:ascii="Arial" w:hAnsi="Arial" w:cs="Arial"/>
          <w:color w:val="000000"/>
          <w:sz w:val="23"/>
          <w:szCs w:val="23"/>
          <w:shd w:val="clear" w:color="auto" w:fill="FFFFFF"/>
        </w:rPr>
        <w:t>           + Первичное кредитование от 12,2% (спец. условия);</w:t>
      </w:r>
      <w:r w:rsidR="002920E1">
        <w:rPr>
          <w:rFonts w:ascii="Arial" w:hAnsi="Arial" w:cs="Arial"/>
          <w:color w:val="000000"/>
          <w:sz w:val="23"/>
          <w:szCs w:val="23"/>
        </w:rPr>
        <w:br/>
      </w:r>
      <w:r w:rsidR="002920E1">
        <w:rPr>
          <w:rFonts w:ascii="Arial" w:hAnsi="Arial" w:cs="Arial"/>
          <w:color w:val="000000"/>
          <w:sz w:val="23"/>
          <w:szCs w:val="23"/>
          <w:shd w:val="clear" w:color="auto" w:fill="FFFFFF"/>
        </w:rPr>
        <w:t>           + Вторичное кредитование от 12,2% (спец. условия);</w:t>
      </w:r>
      <w:r w:rsidR="002920E1">
        <w:rPr>
          <w:rFonts w:ascii="Arial" w:hAnsi="Arial" w:cs="Arial"/>
          <w:color w:val="000000"/>
          <w:sz w:val="23"/>
          <w:szCs w:val="23"/>
        </w:rPr>
        <w:br/>
      </w:r>
      <w:r w:rsidR="002920E1">
        <w:rPr>
          <w:rFonts w:ascii="Arial" w:hAnsi="Arial" w:cs="Arial"/>
          <w:color w:val="000000"/>
          <w:sz w:val="23"/>
          <w:szCs w:val="23"/>
          <w:shd w:val="clear" w:color="auto" w:fill="FFFFFF"/>
        </w:rPr>
        <w:t>           + Коммерческая ипотека от 17%;</w:t>
      </w:r>
      <w:r w:rsidR="002920E1">
        <w:rPr>
          <w:rFonts w:ascii="Arial" w:hAnsi="Arial" w:cs="Arial"/>
          <w:color w:val="000000"/>
          <w:sz w:val="23"/>
          <w:szCs w:val="23"/>
        </w:rPr>
        <w:br/>
      </w:r>
      <w:r w:rsidR="002920E1">
        <w:rPr>
          <w:rFonts w:ascii="Arial" w:hAnsi="Arial" w:cs="Arial"/>
          <w:color w:val="000000"/>
          <w:sz w:val="23"/>
          <w:szCs w:val="23"/>
          <w:shd w:val="clear" w:color="auto" w:fill="FFFFFF"/>
        </w:rPr>
        <w:t>        ПОТРЕБИТЕЛЬСКИЕ КРЕДИТЫ:</w:t>
      </w:r>
      <w:r w:rsidR="002920E1">
        <w:rPr>
          <w:rFonts w:ascii="Arial" w:hAnsi="Arial" w:cs="Arial"/>
          <w:color w:val="000000"/>
          <w:sz w:val="23"/>
          <w:szCs w:val="23"/>
        </w:rPr>
        <w:br/>
      </w:r>
      <w:r w:rsidR="002920E1">
        <w:rPr>
          <w:rFonts w:ascii="Arial" w:hAnsi="Arial" w:cs="Arial"/>
          <w:color w:val="000000"/>
          <w:sz w:val="23"/>
          <w:szCs w:val="23"/>
          <w:shd w:val="clear" w:color="auto" w:fill="FFFFFF"/>
        </w:rPr>
        <w:t>           + Для членов Татарского республиканского комитета профсоюза</w:t>
      </w:r>
      <w:r w:rsidR="002920E1">
        <w:rPr>
          <w:rFonts w:ascii="Arial" w:hAnsi="Arial" w:cs="Arial"/>
          <w:color w:val="000000"/>
          <w:sz w:val="23"/>
          <w:szCs w:val="23"/>
        </w:rPr>
        <w:br/>
      </w:r>
      <w:r w:rsidR="002920E1">
        <w:rPr>
          <w:rFonts w:ascii="Arial" w:hAnsi="Arial" w:cs="Arial"/>
          <w:color w:val="000000"/>
          <w:sz w:val="23"/>
          <w:szCs w:val="23"/>
          <w:shd w:val="clear" w:color="auto" w:fill="FFFFFF"/>
        </w:rPr>
        <w:t>              работников народного образования и науки от 12%;</w:t>
      </w:r>
      <w:r w:rsidR="002920E1">
        <w:rPr>
          <w:rFonts w:ascii="Arial" w:hAnsi="Arial" w:cs="Arial"/>
          <w:color w:val="000000"/>
          <w:sz w:val="23"/>
          <w:szCs w:val="23"/>
        </w:rPr>
        <w:br/>
      </w:r>
    </w:p>
    <w:p w:rsidR="002920E1" w:rsidRDefault="002920E1" w:rsidP="007E799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E96" w:rsidRPr="00762E96" w:rsidRDefault="00762E96" w:rsidP="007E799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условия Программы: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 Территория  действия Программ</w:t>
      </w:r>
      <w:proofErr w:type="gramStart"/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>ы–</w:t>
      </w:r>
      <w:proofErr w:type="gramEnd"/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территориальные подразделения Банка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территории Республики Татарстан;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2. </w:t>
      </w:r>
      <w:hyperlink r:id="rId9" w:tgtFrame="_blank" w:history="1">
        <w:r w:rsidRPr="00762E96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Клиентский</w:t>
        </w:r>
      </w:hyperlink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> сегмент в рамках Программы – физические лица члены татарского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республиканского  комитета  профсоюза  работников  народного  образования и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науки;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  Процентная   </w:t>
      </w:r>
      <w:hyperlink r:id="rId10" w:tgtFrame="_blank" w:history="1">
        <w:r w:rsidRPr="00762E96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ставка</w:t>
        </w:r>
      </w:hyperlink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>,   годовых   -  12%,  процентная  </w:t>
      </w:r>
      <w:hyperlink r:id="rId11" w:tgtFrame="_blank" w:history="1">
        <w:r w:rsidRPr="00762E96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ставка</w:t>
        </w:r>
      </w:hyperlink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>  является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фиксированной.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  увольнении  сотрудника  процентная  ставка  устанавливается  в размере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20,0%,  начиная  с  первого  календарного дня месяца, следующего за месяцем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прекращения  трудового  договора  (если  Банк  был  уведомлен об этом до ее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наступления), или с первого календарного дня месяца, следующего за месяцем,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котором Банку стало известно о прекращении указанного трудового договора.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Обязательные условия кредитования: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 подаче  заявки  Заемщик  должен  предоставить  в  Банк ходатайство ТРК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Профсоюз  работников  народного  образования  и  науки  (форма  приложена к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настоящему  письму)  и документ, подтверждающий доходы. Список документов о</w:t>
      </w:r>
      <w:r w:rsidR="00270F6A" w:rsidRPr="007E79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подтверждении доходов.</w:t>
      </w:r>
    </w:p>
    <w:p w:rsidR="002920E1" w:rsidRDefault="00762E96" w:rsidP="007E799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62E96">
        <w:rPr>
          <w:rFonts w:ascii="Times New Roman" w:hAnsi="Times New Roman" w:cs="Times New Roman"/>
          <w:sz w:val="28"/>
          <w:szCs w:val="28"/>
          <w:shd w:val="clear" w:color="auto" w:fill="FFFFFF"/>
        </w:rPr>
        <w:t>Обращаю  внимание  на  то,  что  сотрудники  </w:t>
      </w:r>
      <w:hyperlink r:id="rId12" w:tgtFrame="_blank" w:history="1">
        <w:r w:rsidRPr="00762E96">
          <w:rPr>
            <w:rStyle w:val="a3"/>
            <w:rFonts w:ascii="Times New Roman" w:hAnsi="Times New Roman" w:cs="Times New Roman"/>
            <w:b/>
            <w:bCs/>
            <w:color w:val="auto"/>
            <w:sz w:val="28"/>
            <w:szCs w:val="28"/>
            <w:shd w:val="clear" w:color="auto" w:fill="FFFFFF"/>
          </w:rPr>
          <w:t>АК  Барс</w:t>
        </w:r>
      </w:hyperlink>
      <w:r w:rsidRPr="00762E96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762E96">
        <w:rPr>
          <w:rFonts w:ascii="Times New Roman" w:hAnsi="Times New Roman" w:cs="Times New Roman"/>
          <w:sz w:val="28"/>
          <w:szCs w:val="28"/>
          <w:shd w:val="clear" w:color="auto" w:fill="FFFFFF"/>
        </w:rPr>
        <w:t>Банка готовы провести</w:t>
      </w:r>
      <w:r w:rsidRPr="00762E96">
        <w:rPr>
          <w:rFonts w:ascii="Times New Roman" w:hAnsi="Times New Roman" w:cs="Times New Roman"/>
          <w:sz w:val="28"/>
          <w:szCs w:val="28"/>
        </w:rPr>
        <w:br/>
      </w:r>
      <w:r w:rsidRPr="00762E96">
        <w:rPr>
          <w:rFonts w:ascii="Times New Roman" w:hAnsi="Times New Roman" w:cs="Times New Roman"/>
          <w:sz w:val="28"/>
          <w:szCs w:val="28"/>
          <w:shd w:val="clear" w:color="auto" w:fill="FFFFFF"/>
        </w:rPr>
        <w:t>презентацию   продукта  на  местах  для  ваших  сотрудников  и  осуществить</w:t>
      </w:r>
      <w:r w:rsidRPr="00762E96">
        <w:rPr>
          <w:rFonts w:ascii="Times New Roman" w:hAnsi="Times New Roman" w:cs="Times New Roman"/>
          <w:sz w:val="28"/>
          <w:szCs w:val="28"/>
        </w:rPr>
        <w:br/>
      </w:r>
      <w:r w:rsidRPr="00762E96">
        <w:rPr>
          <w:rFonts w:ascii="Times New Roman" w:hAnsi="Times New Roman" w:cs="Times New Roman"/>
          <w:sz w:val="28"/>
          <w:szCs w:val="28"/>
          <w:shd w:val="clear" w:color="auto" w:fill="FFFFFF"/>
        </w:rPr>
        <w:t>дополнительную консультацию по всем дополнительным вопросам.</w:t>
      </w:r>
      <w:r w:rsidRPr="00762E96">
        <w:rPr>
          <w:rFonts w:ascii="Times New Roman" w:hAnsi="Times New Roman" w:cs="Times New Roman"/>
          <w:sz w:val="28"/>
          <w:szCs w:val="28"/>
        </w:rPr>
        <w:br/>
      </w:r>
    </w:p>
    <w:p w:rsidR="002920E1" w:rsidRDefault="002920E1" w:rsidP="007E799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920E1" w:rsidRPr="006D4A0B" w:rsidRDefault="002920E1" w:rsidP="002920E1">
      <w:pPr>
        <w:tabs>
          <w:tab w:val="left" w:pos="779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6D4A0B">
        <w:rPr>
          <w:rFonts w:ascii="Times New Roman" w:hAnsi="Times New Roman"/>
          <w:b/>
          <w:sz w:val="28"/>
          <w:szCs w:val="28"/>
          <w:lang w:eastAsia="ru-RU"/>
        </w:rPr>
        <w:t xml:space="preserve">Условия потребительского кредитования </w:t>
      </w:r>
    </w:p>
    <w:p w:rsidR="002920E1" w:rsidRPr="006D4A0B" w:rsidRDefault="002920E1" w:rsidP="002920E1">
      <w:pPr>
        <w:tabs>
          <w:tab w:val="left" w:pos="7797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6D4A0B">
        <w:rPr>
          <w:rFonts w:ascii="Times New Roman" w:hAnsi="Times New Roman"/>
          <w:b/>
          <w:sz w:val="28"/>
          <w:szCs w:val="28"/>
          <w:lang w:eastAsia="ru-RU"/>
        </w:rPr>
        <w:t xml:space="preserve">физических лиц – </w:t>
      </w:r>
      <w:r w:rsidRPr="006D4A0B">
        <w:rPr>
          <w:rFonts w:ascii="Times New Roman" w:eastAsia="Times New Roman" w:hAnsi="Times New Roman"/>
          <w:b/>
          <w:sz w:val="28"/>
          <w:szCs w:val="28"/>
          <w:lang w:eastAsia="ru-RU"/>
        </w:rPr>
        <w:t>членов татарского республиканского комитета профсоюза работников народного образования и науки</w:t>
      </w:r>
      <w:r w:rsidRPr="006D4A0B">
        <w:rPr>
          <w:rFonts w:ascii="Times New Roman" w:eastAsia="Times New Roman" w:hAnsi="Times New Roman"/>
          <w:b/>
          <w:sz w:val="28"/>
          <w:szCs w:val="28"/>
          <w:vertAlign w:val="superscript"/>
          <w:lang w:eastAsia="ru-RU"/>
        </w:rPr>
        <w:footnoteReference w:id="1"/>
      </w:r>
    </w:p>
    <w:p w:rsidR="002920E1" w:rsidRPr="006D4A0B" w:rsidRDefault="002920E1" w:rsidP="002920E1">
      <w:pPr>
        <w:tabs>
          <w:tab w:val="left" w:pos="7797"/>
        </w:tabs>
        <w:spacing w:after="0" w:line="240" w:lineRule="auto"/>
        <w:ind w:left="-993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5"/>
        <w:gridCol w:w="3685"/>
        <w:gridCol w:w="2836"/>
      </w:tblGrid>
      <w:tr w:rsidR="002920E1" w:rsidRPr="006D4A0B" w:rsidTr="008A3425">
        <w:trPr>
          <w:trHeight w:val="319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CCFF99"/>
            <w:vAlign w:val="center"/>
          </w:tcPr>
          <w:p w:rsidR="002920E1" w:rsidRPr="006D4A0B" w:rsidRDefault="002920E1" w:rsidP="008A342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Параметры</w:t>
            </w: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  <w:shd w:val="clear" w:color="auto" w:fill="CCFF99"/>
            <w:vAlign w:val="center"/>
          </w:tcPr>
          <w:p w:rsidR="002920E1" w:rsidRPr="006D4A0B" w:rsidRDefault="002920E1" w:rsidP="008A342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Значение</w:t>
            </w:r>
          </w:p>
        </w:tc>
      </w:tr>
      <w:tr w:rsidR="002920E1" w:rsidRPr="006D4A0B" w:rsidTr="008A3425">
        <w:trPr>
          <w:trHeight w:val="217"/>
        </w:trPr>
        <w:tc>
          <w:tcPr>
            <w:tcW w:w="4395" w:type="dxa"/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Клиентский сегмент</w:t>
            </w:r>
          </w:p>
        </w:tc>
        <w:tc>
          <w:tcPr>
            <w:tcW w:w="6521" w:type="dxa"/>
            <w:gridSpan w:val="2"/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iCs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Физические лица - члены татарского республиканского комитета профсоюза работников народного образования и науки</w:t>
            </w:r>
          </w:p>
        </w:tc>
      </w:tr>
      <w:tr w:rsidR="002920E1" w:rsidRPr="006D4A0B" w:rsidTr="008A3425">
        <w:trPr>
          <w:trHeight w:val="217"/>
        </w:trPr>
        <w:tc>
          <w:tcPr>
            <w:tcW w:w="4395" w:type="dxa"/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Территория действия</w:t>
            </w:r>
          </w:p>
        </w:tc>
        <w:tc>
          <w:tcPr>
            <w:tcW w:w="6521" w:type="dxa"/>
            <w:gridSpan w:val="2"/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Филиалы РТ</w:t>
            </w:r>
          </w:p>
        </w:tc>
      </w:tr>
      <w:tr w:rsidR="002920E1" w:rsidRPr="006D4A0B" w:rsidTr="008A3425">
        <w:trPr>
          <w:trHeight w:val="219"/>
        </w:trPr>
        <w:tc>
          <w:tcPr>
            <w:tcW w:w="4395" w:type="dxa"/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Валюта кредита</w:t>
            </w:r>
          </w:p>
        </w:tc>
        <w:tc>
          <w:tcPr>
            <w:tcW w:w="6521" w:type="dxa"/>
            <w:gridSpan w:val="2"/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Рубли РФ</w:t>
            </w:r>
          </w:p>
        </w:tc>
      </w:tr>
      <w:tr w:rsidR="002920E1" w:rsidRPr="006D4A0B" w:rsidTr="008A3425">
        <w:trPr>
          <w:trHeight w:val="233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Обеспечение кредита</w:t>
            </w: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Без обеспечения</w:t>
            </w:r>
          </w:p>
        </w:tc>
      </w:tr>
      <w:tr w:rsidR="002920E1" w:rsidRPr="006D4A0B" w:rsidTr="008A3425">
        <w:trPr>
          <w:trHeight w:val="265"/>
        </w:trPr>
        <w:tc>
          <w:tcPr>
            <w:tcW w:w="4395" w:type="dxa"/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Минимальная сумма кредита</w:t>
            </w:r>
          </w:p>
        </w:tc>
        <w:tc>
          <w:tcPr>
            <w:tcW w:w="6521" w:type="dxa"/>
            <w:gridSpan w:val="2"/>
            <w:shd w:val="clear" w:color="auto" w:fill="auto"/>
          </w:tcPr>
          <w:p w:rsidR="002920E1" w:rsidRPr="006D4A0B" w:rsidRDefault="002920E1" w:rsidP="008A3425">
            <w:pPr>
              <w:tabs>
                <w:tab w:val="left" w:pos="460"/>
                <w:tab w:val="center" w:pos="1569"/>
              </w:tabs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10 000 рублей</w:t>
            </w:r>
          </w:p>
        </w:tc>
      </w:tr>
      <w:tr w:rsidR="002920E1" w:rsidRPr="006D4A0B" w:rsidTr="008A3425">
        <w:trPr>
          <w:trHeight w:val="189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Максимальная сумма кредита</w:t>
            </w:r>
            <w:r w:rsidRPr="006D4A0B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  <w:footnoteReference w:id="2"/>
            </w:r>
          </w:p>
        </w:tc>
        <w:tc>
          <w:tcPr>
            <w:tcW w:w="6521" w:type="dxa"/>
            <w:gridSpan w:val="2"/>
            <w:shd w:val="clear" w:color="auto" w:fill="auto"/>
          </w:tcPr>
          <w:p w:rsidR="002920E1" w:rsidRPr="006D4A0B" w:rsidRDefault="002920E1" w:rsidP="008A3425">
            <w:pPr>
              <w:tabs>
                <w:tab w:val="left" w:pos="460"/>
                <w:tab w:val="center" w:pos="156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100 000  рублей</w:t>
            </w:r>
          </w:p>
        </w:tc>
      </w:tr>
      <w:tr w:rsidR="002920E1" w:rsidRPr="006D4A0B" w:rsidTr="008A3425">
        <w:trPr>
          <w:trHeight w:val="288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Срок кредита, мес.</w:t>
            </w: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от 3 до 12 </w:t>
            </w:r>
          </w:p>
        </w:tc>
      </w:tr>
      <w:tr w:rsidR="002920E1" w:rsidRPr="006D4A0B" w:rsidTr="008A3425">
        <w:trPr>
          <w:trHeight w:val="288"/>
        </w:trPr>
        <w:tc>
          <w:tcPr>
            <w:tcW w:w="4395" w:type="dxa"/>
            <w:vMerge w:val="restart"/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Процентная ставка, </w:t>
            </w:r>
            <w:proofErr w:type="gramStart"/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годовых</w:t>
            </w:r>
            <w:proofErr w:type="gramEnd"/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 предоставлении документов, подтверждающих доход</w:t>
            </w:r>
          </w:p>
        </w:tc>
        <w:tc>
          <w:tcPr>
            <w:tcW w:w="2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Без предоставления документов, подтверждающих доход</w:t>
            </w:r>
          </w:p>
        </w:tc>
      </w:tr>
      <w:tr w:rsidR="002920E1" w:rsidRPr="006D4A0B" w:rsidTr="008A3425">
        <w:trPr>
          <w:trHeight w:val="288"/>
        </w:trPr>
        <w:tc>
          <w:tcPr>
            <w:tcW w:w="439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12,0%</w:t>
            </w:r>
          </w:p>
        </w:tc>
        <w:tc>
          <w:tcPr>
            <w:tcW w:w="2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13,0%</w:t>
            </w:r>
          </w:p>
        </w:tc>
      </w:tr>
      <w:tr w:rsidR="002920E1" w:rsidRPr="006D4A0B" w:rsidTr="008A3425">
        <w:trPr>
          <w:trHeight w:val="288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Страхование жизни и потери трудоспособности заемщика</w:t>
            </w: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Страховая премия не включается в сумму кредита</w:t>
            </w:r>
          </w:p>
        </w:tc>
      </w:tr>
      <w:tr w:rsidR="002920E1" w:rsidRPr="006D4A0B" w:rsidTr="008A3425">
        <w:trPr>
          <w:trHeight w:val="169"/>
        </w:trPr>
        <w:tc>
          <w:tcPr>
            <w:tcW w:w="10916" w:type="dxa"/>
            <w:gridSpan w:val="3"/>
            <w:shd w:val="clear" w:color="auto" w:fill="CCFF99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Общие условия</w:t>
            </w:r>
          </w:p>
        </w:tc>
      </w:tr>
      <w:tr w:rsidR="002920E1" w:rsidRPr="006D4A0B" w:rsidTr="008A3425">
        <w:trPr>
          <w:trHeight w:val="193"/>
        </w:trPr>
        <w:tc>
          <w:tcPr>
            <w:tcW w:w="4395" w:type="dxa"/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Предоставление документов, подтверждающих доход</w:t>
            </w:r>
          </w:p>
        </w:tc>
        <w:tc>
          <w:tcPr>
            <w:tcW w:w="6521" w:type="dxa"/>
            <w:gridSpan w:val="2"/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 обязательно</w:t>
            </w:r>
          </w:p>
        </w:tc>
      </w:tr>
      <w:tr w:rsidR="002920E1" w:rsidRPr="006D4A0B" w:rsidTr="008A3425">
        <w:trPr>
          <w:trHeight w:val="193"/>
        </w:trPr>
        <w:tc>
          <w:tcPr>
            <w:tcW w:w="4395" w:type="dxa"/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Комиссия за выдачу кредита </w:t>
            </w:r>
          </w:p>
        </w:tc>
        <w:tc>
          <w:tcPr>
            <w:tcW w:w="6521" w:type="dxa"/>
            <w:gridSpan w:val="2"/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Не взимается</w:t>
            </w:r>
          </w:p>
        </w:tc>
      </w:tr>
      <w:tr w:rsidR="002920E1" w:rsidRPr="006D4A0B" w:rsidTr="008A3425">
        <w:trPr>
          <w:trHeight w:val="2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Погашение кредита</w:t>
            </w: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6D4A0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Аннуитетные</w:t>
            </w:r>
            <w:proofErr w:type="spellEnd"/>
            <w:r w:rsidRPr="006D4A0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платежи</w:t>
            </w:r>
          </w:p>
        </w:tc>
      </w:tr>
      <w:tr w:rsidR="002920E1" w:rsidRPr="006D4A0B" w:rsidTr="008A3425">
        <w:trPr>
          <w:trHeight w:val="2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Досрочное погашение кредита</w:t>
            </w: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любое время без ограничения по сумме и срокам, без комиссии</w:t>
            </w:r>
          </w:p>
        </w:tc>
      </w:tr>
      <w:tr w:rsidR="002920E1" w:rsidRPr="006D4A0B" w:rsidTr="008A3425">
        <w:trPr>
          <w:trHeight w:val="266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</w:tcPr>
          <w:p w:rsidR="002920E1" w:rsidRPr="006D4A0B" w:rsidRDefault="002920E1" w:rsidP="008A342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случае увольнения</w:t>
            </w:r>
          </w:p>
        </w:tc>
        <w:tc>
          <w:tcPr>
            <w:tcW w:w="652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920E1" w:rsidRPr="006D4A0B" w:rsidRDefault="002920E1" w:rsidP="008A342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D4A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Процентная ставка устанавливается в размере </w:t>
            </w:r>
            <w:r w:rsidRPr="006D4A0B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 xml:space="preserve">20,0%, </w:t>
            </w:r>
            <w:r w:rsidRPr="006D4A0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начиная с первого календарного дня месяца, следующего за месяцем прекращения трудового договора (если Банк был уведомлен об этом до ее наступления), или с первого календарного дня месяца, следующего за месяцем, в котором Банку стало известно о прекращении указанного трудового договора.</w:t>
            </w:r>
          </w:p>
          <w:p w:rsidR="002920E1" w:rsidRPr="006D4A0B" w:rsidRDefault="002920E1" w:rsidP="008A342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920E1" w:rsidRPr="006D4A0B" w:rsidRDefault="002920E1" w:rsidP="002920E1">
      <w:pPr>
        <w:tabs>
          <w:tab w:val="left" w:pos="684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920E1" w:rsidRPr="006D4A0B" w:rsidRDefault="002920E1" w:rsidP="002920E1">
      <w:pPr>
        <w:tabs>
          <w:tab w:val="left" w:pos="684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920E1" w:rsidRPr="006D4A0B" w:rsidRDefault="002920E1" w:rsidP="002920E1">
      <w:pPr>
        <w:rPr>
          <w:rFonts w:ascii="Times New Roman" w:hAnsi="Times New Roman"/>
          <w:sz w:val="28"/>
          <w:szCs w:val="28"/>
        </w:rPr>
      </w:pPr>
    </w:p>
    <w:p w:rsidR="003B13C4" w:rsidRPr="00762E96" w:rsidRDefault="00762E96" w:rsidP="007E799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62E96">
        <w:rPr>
          <w:rFonts w:ascii="Times New Roman" w:hAnsi="Times New Roman" w:cs="Times New Roman"/>
          <w:sz w:val="28"/>
          <w:szCs w:val="28"/>
        </w:rPr>
        <w:br/>
      </w:r>
    </w:p>
    <w:sectPr w:rsidR="003B13C4" w:rsidRPr="00762E96" w:rsidSect="00762E96">
      <w:pgSz w:w="11906" w:h="16838"/>
      <w:pgMar w:top="851" w:right="851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80E" w:rsidRDefault="0063480E" w:rsidP="002920E1">
      <w:pPr>
        <w:spacing w:after="0" w:line="240" w:lineRule="auto"/>
      </w:pPr>
      <w:r>
        <w:separator/>
      </w:r>
    </w:p>
  </w:endnote>
  <w:endnote w:type="continuationSeparator" w:id="0">
    <w:p w:rsidR="0063480E" w:rsidRDefault="0063480E" w:rsidP="002920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80E" w:rsidRDefault="0063480E" w:rsidP="002920E1">
      <w:pPr>
        <w:spacing w:after="0" w:line="240" w:lineRule="auto"/>
      </w:pPr>
      <w:r>
        <w:separator/>
      </w:r>
    </w:p>
  </w:footnote>
  <w:footnote w:type="continuationSeparator" w:id="0">
    <w:p w:rsidR="0063480E" w:rsidRDefault="0063480E" w:rsidP="002920E1">
      <w:pPr>
        <w:spacing w:after="0" w:line="240" w:lineRule="auto"/>
      </w:pPr>
      <w:r>
        <w:continuationSeparator/>
      </w:r>
    </w:p>
  </w:footnote>
  <w:footnote w:id="1">
    <w:p w:rsidR="002920E1" w:rsidRDefault="002920E1" w:rsidP="002920E1">
      <w:pPr>
        <w:pStyle w:val="a6"/>
      </w:pPr>
      <w:r>
        <w:rPr>
          <w:rStyle w:val="a8"/>
        </w:rPr>
        <w:footnoteRef/>
      </w:r>
      <w:r>
        <w:t xml:space="preserve"> </w:t>
      </w:r>
      <w:r w:rsidRPr="004D7DB9">
        <w:rPr>
          <w:sz w:val="14"/>
          <w:szCs w:val="14"/>
        </w:rPr>
        <w:t xml:space="preserve">Программа вводится </w:t>
      </w:r>
      <w:r>
        <w:rPr>
          <w:sz w:val="14"/>
          <w:szCs w:val="14"/>
        </w:rPr>
        <w:t xml:space="preserve">в действие </w:t>
      </w:r>
      <w:r w:rsidRPr="004D7DB9">
        <w:rPr>
          <w:sz w:val="14"/>
          <w:szCs w:val="14"/>
        </w:rPr>
        <w:t xml:space="preserve">с момента внесения </w:t>
      </w:r>
      <w:r>
        <w:rPr>
          <w:sz w:val="14"/>
          <w:szCs w:val="14"/>
        </w:rPr>
        <w:t xml:space="preserve">настроек </w:t>
      </w:r>
      <w:r w:rsidRPr="004D7DB9">
        <w:rPr>
          <w:sz w:val="14"/>
          <w:szCs w:val="14"/>
        </w:rPr>
        <w:t>в программные комплексы Банка</w:t>
      </w:r>
      <w:r>
        <w:rPr>
          <w:sz w:val="14"/>
          <w:szCs w:val="14"/>
        </w:rPr>
        <w:t>.</w:t>
      </w:r>
    </w:p>
  </w:footnote>
  <w:footnote w:id="2">
    <w:p w:rsidR="002920E1" w:rsidRPr="001613F4" w:rsidRDefault="002920E1" w:rsidP="002920E1">
      <w:pPr>
        <w:pStyle w:val="a9"/>
        <w:jc w:val="both"/>
        <w:rPr>
          <w:sz w:val="14"/>
          <w:szCs w:val="14"/>
        </w:rPr>
      </w:pPr>
      <w:r w:rsidRPr="001613F4">
        <w:rPr>
          <w:rStyle w:val="a8"/>
          <w:sz w:val="14"/>
          <w:szCs w:val="14"/>
        </w:rPr>
        <w:footnoteRef/>
      </w:r>
      <w:r w:rsidRPr="001613F4">
        <w:rPr>
          <w:sz w:val="14"/>
          <w:szCs w:val="14"/>
        </w:rPr>
        <w:t xml:space="preserve"> Максимальная сумма кредита по программам потребительского кредитования без обеспечения, возможную к выдаче Заемщику, рассчитывать как максимальную сумму кредита без обеспечения, установленную условиями программы, за вычетом суммарного остатка задолженностей по всем необеспеченным кредитам Заемщика  в ПАО «АК БАРС» БАНК и потребительским кредитам (исключая кредитные карты, ипотечные и автокредиты) в иных банках. Суммарный остаток задолженностей по всем необеспеченным кредитам Заемщика определяется как сумма остатков задолженности по каждому необеспеченному кредиту, по состоянию на день предоставления Заемщиком в Банк пакета документов для рассмотрения возможности кредитования.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286283"/>
    <w:multiLevelType w:val="multilevel"/>
    <w:tmpl w:val="0D749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E96"/>
    <w:rsid w:val="00270F6A"/>
    <w:rsid w:val="002920E1"/>
    <w:rsid w:val="003B13C4"/>
    <w:rsid w:val="0063480E"/>
    <w:rsid w:val="00762E96"/>
    <w:rsid w:val="007E7990"/>
    <w:rsid w:val="00BF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62E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62E9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dr">
    <w:name w:val="adr"/>
    <w:basedOn w:val="a0"/>
    <w:rsid w:val="00762E96"/>
  </w:style>
  <w:style w:type="character" w:styleId="a3">
    <w:name w:val="Hyperlink"/>
    <w:basedOn w:val="a0"/>
    <w:uiPriority w:val="99"/>
    <w:semiHidden/>
    <w:unhideWhenUsed/>
    <w:rsid w:val="00762E96"/>
    <w:rPr>
      <w:color w:val="0000FF"/>
      <w:u w:val="single"/>
    </w:rPr>
  </w:style>
  <w:style w:type="character" w:customStyle="1" w:styleId="apple-converted-space">
    <w:name w:val="apple-converted-space"/>
    <w:basedOn w:val="a0"/>
    <w:rsid w:val="00762E96"/>
  </w:style>
  <w:style w:type="character" w:customStyle="1" w:styleId="attachment-size">
    <w:name w:val="attachment-size"/>
    <w:basedOn w:val="a0"/>
    <w:rsid w:val="00762E96"/>
  </w:style>
  <w:style w:type="paragraph" w:styleId="a4">
    <w:name w:val="Balloon Text"/>
    <w:basedOn w:val="a"/>
    <w:link w:val="a5"/>
    <w:uiPriority w:val="99"/>
    <w:semiHidden/>
    <w:unhideWhenUsed/>
    <w:rsid w:val="007E7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7990"/>
    <w:rPr>
      <w:rFonts w:ascii="Tahoma" w:hAnsi="Tahoma" w:cs="Tahoma"/>
      <w:sz w:val="16"/>
      <w:szCs w:val="16"/>
    </w:rPr>
  </w:style>
  <w:style w:type="paragraph" w:styleId="a6">
    <w:name w:val="footnote text"/>
    <w:basedOn w:val="a"/>
    <w:link w:val="a7"/>
    <w:semiHidden/>
    <w:rsid w:val="002920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2920E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rsid w:val="002920E1"/>
    <w:rPr>
      <w:vertAlign w:val="superscript"/>
    </w:rPr>
  </w:style>
  <w:style w:type="paragraph" w:styleId="a9">
    <w:name w:val="endnote text"/>
    <w:basedOn w:val="a"/>
    <w:link w:val="aa"/>
    <w:uiPriority w:val="99"/>
    <w:unhideWhenUsed/>
    <w:rsid w:val="002920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концевой сноски Знак"/>
    <w:basedOn w:val="a0"/>
    <w:link w:val="a9"/>
    <w:uiPriority w:val="99"/>
    <w:rsid w:val="002920E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62E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62E9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dr">
    <w:name w:val="adr"/>
    <w:basedOn w:val="a0"/>
    <w:rsid w:val="00762E96"/>
  </w:style>
  <w:style w:type="character" w:styleId="a3">
    <w:name w:val="Hyperlink"/>
    <w:basedOn w:val="a0"/>
    <w:uiPriority w:val="99"/>
    <w:semiHidden/>
    <w:unhideWhenUsed/>
    <w:rsid w:val="00762E96"/>
    <w:rPr>
      <w:color w:val="0000FF"/>
      <w:u w:val="single"/>
    </w:rPr>
  </w:style>
  <w:style w:type="character" w:customStyle="1" w:styleId="apple-converted-space">
    <w:name w:val="apple-converted-space"/>
    <w:basedOn w:val="a0"/>
    <w:rsid w:val="00762E96"/>
  </w:style>
  <w:style w:type="character" w:customStyle="1" w:styleId="attachment-size">
    <w:name w:val="attachment-size"/>
    <w:basedOn w:val="a0"/>
    <w:rsid w:val="00762E96"/>
  </w:style>
  <w:style w:type="paragraph" w:styleId="a4">
    <w:name w:val="Balloon Text"/>
    <w:basedOn w:val="a"/>
    <w:link w:val="a5"/>
    <w:uiPriority w:val="99"/>
    <w:semiHidden/>
    <w:unhideWhenUsed/>
    <w:rsid w:val="007E7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7990"/>
    <w:rPr>
      <w:rFonts w:ascii="Tahoma" w:hAnsi="Tahoma" w:cs="Tahoma"/>
      <w:sz w:val="16"/>
      <w:szCs w:val="16"/>
    </w:rPr>
  </w:style>
  <w:style w:type="paragraph" w:styleId="a6">
    <w:name w:val="footnote text"/>
    <w:basedOn w:val="a"/>
    <w:link w:val="a7"/>
    <w:semiHidden/>
    <w:rsid w:val="002920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2920E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rsid w:val="002920E1"/>
    <w:rPr>
      <w:vertAlign w:val="superscript"/>
    </w:rPr>
  </w:style>
  <w:style w:type="paragraph" w:styleId="a9">
    <w:name w:val="endnote text"/>
    <w:basedOn w:val="a"/>
    <w:link w:val="aa"/>
    <w:uiPriority w:val="99"/>
    <w:unhideWhenUsed/>
    <w:rsid w:val="002920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концевой сноски Знак"/>
    <w:basedOn w:val="a0"/>
    <w:link w:val="a9"/>
    <w:uiPriority w:val="99"/>
    <w:rsid w:val="002920E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3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4133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DDDDDD"/>
            <w:bottom w:val="single" w:sz="6" w:space="2" w:color="DDDDDD"/>
            <w:right w:val="single" w:sz="6" w:space="0" w:color="DDDDDD"/>
          </w:divBdr>
          <w:divsChild>
            <w:div w:id="100062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902149">
              <w:marLeft w:val="0"/>
              <w:marRight w:val="0"/>
              <w:marTop w:val="0"/>
              <w:marBottom w:val="0"/>
              <w:divBdr>
                <w:top w:val="single" w:sz="6" w:space="0" w:color="E6E6E6"/>
                <w:left w:val="single" w:sz="6" w:space="0" w:color="E6E6E6"/>
                <w:bottom w:val="single" w:sz="6" w:space="0" w:color="E6E6E6"/>
                <w:right w:val="single" w:sz="6" w:space="0" w:color="E6E6E6"/>
              </w:divBdr>
            </w:div>
          </w:divsChild>
        </w:div>
        <w:div w:id="150774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40718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97742">
              <w:marLeft w:val="0"/>
              <w:marRight w:val="37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151098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9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37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ebmail.jino.ru/?_task=mail&amp;_caps=pdf%3D1%2Cflash%3D1%2Ctif%3D0&amp;_uid=37960&amp;_mbox=INBOX&amp;_action=sho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ebmail.jino.ru/?_task=mail&amp;_caps=pdf%3D1%2Cflash%3D1%2Ctif%3D0&amp;_uid=37960&amp;_mbox=INBOX&amp;_action=show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ebmail.jino.ru/?_task=mail&amp;_caps=pdf%3D1%2Cflash%3D1%2Ctif%3D0&amp;_uid=37960&amp;_mbox=INBOX&amp;_action=sho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mail.jino.ru/?_task=mail&amp;_caps=pdf%3D1%2Cflash%3D1%2Ctif%3D0&amp;_uid=37960&amp;_mbox=INBOX&amp;_action=show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Regina</cp:lastModifiedBy>
  <cp:revision>5</cp:revision>
  <cp:lastPrinted>2017-02-07T11:02:00Z</cp:lastPrinted>
  <dcterms:created xsi:type="dcterms:W3CDTF">2017-01-23T06:52:00Z</dcterms:created>
  <dcterms:modified xsi:type="dcterms:W3CDTF">2017-02-08T05:31:00Z</dcterms:modified>
</cp:coreProperties>
</file>